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d7ba4joiyhox" w:id="0"/>
      <w:bookmarkEnd w:id="0"/>
      <w:r w:rsidDel="00000000" w:rsidR="00000000" w:rsidRPr="00000000">
        <w:rPr>
          <w:b w:val="1"/>
          <w:u w:val="single"/>
          <w:rtl w:val="0"/>
        </w:rPr>
        <w:t xml:space="preserve">Contingency Plan for Distance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Contingency Plan for Distance Learning will go into effect in the event of district closure; until the district resumes on-site instruction.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 Created: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Student Name: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DOB: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MARSS #: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Primary Disability:</w:t>
        <w:br w:type="textWrapping"/>
        <w:t xml:space="preserve">Secondary Disability: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Tertiary Disability: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Case Manager: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Parent Preferred Mode of Communication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Chat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Paraprofessional Support: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Due to the Centers for Disease Control guidelines, distance learning service delivery modalities will not include direct paraprofessional support.  </w:t>
            </w:r>
          </w:p>
        </w:tc>
      </w:tr>
    </w:tbl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Education Services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535"/>
        <w:gridCol w:w="2145"/>
        <w:tblGridChange w:id="0">
          <w:tblGrid>
            <w:gridCol w:w="2340"/>
            <w:gridCol w:w="2340"/>
            <w:gridCol w:w="2535"/>
            <w:gridCol w:w="214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Frequency of  Service Provider Contact: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 of Delivery: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535"/>
        <w:gridCol w:w="2145"/>
        <w:tblGridChange w:id="0">
          <w:tblGrid>
            <w:gridCol w:w="2340"/>
            <w:gridCol w:w="2340"/>
            <w:gridCol w:w="2535"/>
            <w:gridCol w:w="214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Frequency of  Service Provider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 of Delivery: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535"/>
        <w:gridCol w:w="2145"/>
        <w:tblGridChange w:id="0">
          <w:tblGrid>
            <w:gridCol w:w="2340"/>
            <w:gridCol w:w="2340"/>
            <w:gridCol w:w="2535"/>
            <w:gridCol w:w="214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Frequency of  Service Provider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 of Delivery: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535"/>
        <w:gridCol w:w="2145"/>
        <w:tblGridChange w:id="0">
          <w:tblGrid>
            <w:gridCol w:w="2340"/>
            <w:gridCol w:w="2340"/>
            <w:gridCol w:w="2535"/>
            <w:gridCol w:w="214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Frequency of  Service Provider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 of Delivery: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/>
      <w:drawing>
        <wp:inline distB="114300" distT="114300" distL="114300" distR="114300">
          <wp:extent cx="5943600" cy="977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77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